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國立中山大學學生參與英語文測驗獎勵要點</w:t>
      </w:r>
    </w:p>
    <w:p>
      <w:pPr>
        <w:pStyle w:val="BodyText"/>
        <w:spacing w:line="321" w:lineRule="auto" w:before="145"/>
        <w:ind w:right="1610" w:hanging="481"/>
      </w:pPr>
      <w:r>
        <w:rPr/>
        <w:t>一、為鼓勵本校同學參加校外英語文測驗，藉以提昇英語能力，加強校園國際文化，</w:t>
      </w:r>
      <w:r>
        <w:rPr>
          <w:spacing w:val="-117"/>
        </w:rPr>
        <w:t> </w:t>
      </w:r>
      <w:r>
        <w:rPr/>
        <w:t>特定本要點。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ind w:left="112"/>
      </w:pPr>
      <w:r>
        <w:rPr>
          <w:spacing w:val="-1"/>
        </w:rPr>
        <w:t>二、申請資格</w:t>
      </w:r>
      <w:r>
        <w:rPr>
          <w:rFonts w:ascii="Times New Roman" w:eastAsia="Times New Roman"/>
        </w:rPr>
        <w:t>(</w:t>
      </w:r>
      <w:r>
        <w:rPr/>
        <w:t>須符合下列四項</w:t>
      </w:r>
      <w:r>
        <w:rPr>
          <w:rFonts w:ascii="Times New Roman" w:eastAsia="Times New Roman"/>
        </w:rPr>
        <w:t>)</w:t>
      </w:r>
      <w:r>
        <w:rPr/>
        <w:t>：</w:t>
      </w:r>
    </w:p>
    <w:p>
      <w:pPr>
        <w:pStyle w:val="BodyText"/>
        <w:spacing w:line="280" w:lineRule="auto" w:before="53"/>
        <w:ind w:left="1118" w:right="1406" w:hanging="526"/>
      </w:pPr>
      <w:r>
        <w:rPr>
          <w:spacing w:val="-10"/>
        </w:rPr>
        <w:t>(一) 本校大學部及研究所在學學生</w:t>
      </w:r>
      <w:r>
        <w:rPr>
          <w:rFonts w:ascii="Times New Roman" w:eastAsia="Times New Roman"/>
          <w:spacing w:val="-1"/>
        </w:rPr>
        <w:t>(</w:t>
      </w:r>
      <w:r>
        <w:rPr/>
        <w:t>不含在職專班學生及交換生</w:t>
      </w:r>
      <w:r>
        <w:rPr>
          <w:rFonts w:ascii="Times New Roman" w:eastAsia="Times New Roman"/>
        </w:rPr>
        <w:t>)</w:t>
      </w:r>
      <w:r>
        <w:rPr/>
        <w:t>及非英語系國家之外籍學位生與僑生。</w:t>
      </w:r>
    </w:p>
    <w:p>
      <w:pPr>
        <w:pStyle w:val="BodyText"/>
        <w:spacing w:before="26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9"/>
        </w:rPr>
        <w:t>) </w:t>
      </w:r>
      <w:r>
        <w:rPr/>
        <w:t>從未獲得其他系院之語文測驗補助者。</w:t>
      </w:r>
    </w:p>
    <w:p>
      <w:pPr>
        <w:pStyle w:val="BodyText"/>
        <w:spacing w:before="106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9"/>
        </w:rPr>
        <w:t>) </w:t>
      </w:r>
      <w:r>
        <w:rPr/>
        <w:t>於本校在學期間通過英語文測驗者。</w:t>
      </w:r>
    </w:p>
    <w:p>
      <w:pPr>
        <w:pStyle w:val="BodyText"/>
        <w:spacing w:line="321" w:lineRule="auto" w:before="107"/>
        <w:ind w:left="1073" w:right="1629" w:hanging="480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  <w:spacing w:val="1"/>
        </w:rPr>
        <w:t>) </w:t>
      </w:r>
      <w:r>
        <w:rPr/>
        <w:t>於本校在學期間未參加校園多益測驗</w:t>
      </w:r>
      <w:r>
        <w:rPr>
          <w:rFonts w:ascii="Times New Roman" w:eastAsia="Times New Roman"/>
        </w:rPr>
        <w:t>(TOEIC)</w:t>
      </w:r>
      <w:r>
        <w:rPr/>
        <w:t>者。</w:t>
      </w:r>
      <w:r>
        <w:rPr>
          <w:rFonts w:ascii="Times New Roman" w:eastAsia="Times New Roman"/>
        </w:rPr>
        <w:t>(</w:t>
      </w:r>
      <w:r>
        <w:rPr/>
        <w:t>參與多益測驗口說與寫作測驗，可額外補助至多一次</w:t>
      </w:r>
      <w:r>
        <w:rPr>
          <w:rFonts w:ascii="Times New Roman" w:eastAsia="Times New Roman"/>
        </w:rPr>
        <w:t>)</w:t>
      </w:r>
      <w:r>
        <w:rPr/>
        <w:t>。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ind w:left="112"/>
      </w:pPr>
      <w:r>
        <w:rPr/>
        <w:t>三、獎勵標準：</w:t>
      </w:r>
    </w:p>
    <w:p>
      <w:pPr>
        <w:pStyle w:val="BodyText"/>
        <w:spacing w:before="53" w:after="41"/>
      </w:pPr>
      <w:r>
        <w:rPr>
          <w:spacing w:val="-31"/>
        </w:rPr>
        <w:t>於 </w:t>
      </w:r>
      <w:r>
        <w:rPr>
          <w:rFonts w:ascii="Times New Roman" w:eastAsia="Times New Roman"/>
          <w:spacing w:val="-1"/>
        </w:rPr>
        <w:t>110 </w:t>
      </w:r>
      <w:r>
        <w:rPr>
          <w:spacing w:val="-31"/>
        </w:rPr>
        <w:t>年 </w:t>
      </w:r>
      <w:r>
        <w:rPr>
          <w:rFonts w:ascii="Times New Roman" w:eastAsia="Times New Roman"/>
          <w:spacing w:val="-1"/>
        </w:rPr>
        <w:t>9</w:t>
      </w:r>
      <w:r>
        <w:rPr>
          <w:rFonts w:ascii="Times New Roman" w:eastAsia="Times New Roman"/>
        </w:rPr>
        <w:t> </w:t>
      </w:r>
      <w:r>
        <w:rPr>
          <w:spacing w:val="-31"/>
        </w:rPr>
        <w:t>月 </w:t>
      </w:r>
      <w:r>
        <w:rPr>
          <w:rFonts w:ascii="Times New Roman" w:eastAsia="Times New Roman"/>
          <w:spacing w:val="-1"/>
        </w:rPr>
        <w:t>1</w:t>
      </w:r>
      <w:r>
        <w:rPr>
          <w:rFonts w:ascii="Times New Roman" w:eastAsia="Times New Roman"/>
        </w:rPr>
        <w:t> </w:t>
      </w:r>
      <w:r>
        <w:rPr>
          <w:spacing w:val="-7"/>
        </w:rPr>
        <w:t>日後參加英語文測驗達 </w:t>
      </w:r>
      <w:r>
        <w:rPr>
          <w:rFonts w:ascii="Times New Roman" w:eastAsia="Times New Roman"/>
        </w:rPr>
        <w:t>CEFR B2 </w:t>
      </w:r>
      <w:r>
        <w:rPr/>
        <w:t>以上者，即可申請測驗費用之報名費補助。</w:t>
      </w:r>
    </w:p>
    <w:tbl>
      <w:tblPr>
        <w:tblW w:w="0" w:type="auto"/>
        <w:jc w:val="left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3056"/>
      </w:tblGrid>
      <w:tr>
        <w:trPr>
          <w:trHeight w:val="539" w:hRule="atLeast"/>
        </w:trPr>
        <w:tc>
          <w:tcPr>
            <w:tcW w:w="5240" w:type="dxa"/>
          </w:tcPr>
          <w:p>
            <w:pPr>
              <w:pStyle w:val="TableParagraph"/>
              <w:spacing w:before="103"/>
              <w:ind w:left="2118" w:right="2111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考試類別</w:t>
            </w:r>
          </w:p>
        </w:tc>
        <w:tc>
          <w:tcPr>
            <w:tcW w:w="3056" w:type="dxa"/>
          </w:tcPr>
          <w:p>
            <w:pPr>
              <w:pStyle w:val="TableParagraph"/>
              <w:spacing w:before="103"/>
              <w:ind w:left="1269" w:right="1257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標準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托福網路化測驗</w:t>
            </w:r>
            <w:r>
              <w:rPr>
                <w:spacing w:val="-1"/>
                <w:sz w:val="24"/>
              </w:rPr>
              <w:t>(TOEFL-iBT)</w:t>
            </w:r>
          </w:p>
        </w:tc>
        <w:tc>
          <w:tcPr>
            <w:tcW w:w="3056" w:type="dxa"/>
          </w:tcPr>
          <w:p>
            <w:pPr>
              <w:pStyle w:val="TableParagraph"/>
              <w:spacing w:before="12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托福紙筆測驗</w:t>
            </w:r>
            <w:r>
              <w:rPr>
                <w:spacing w:val="-1"/>
                <w:sz w:val="24"/>
              </w:rPr>
              <w:t>(TOEFL-ITP)</w:t>
            </w:r>
          </w:p>
        </w:tc>
        <w:tc>
          <w:tcPr>
            <w:tcW w:w="3056" w:type="dxa"/>
          </w:tcPr>
          <w:p>
            <w:pPr>
              <w:pStyle w:val="TableParagraph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543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rFonts w:ascii="SimSun" w:eastAsia="SimSun" w:hint="eastAsia"/>
                <w:spacing w:val="-3"/>
                <w:sz w:val="24"/>
              </w:rPr>
              <w:t>雅思</w:t>
            </w:r>
            <w:r>
              <w:rPr>
                <w:spacing w:val="-3"/>
                <w:sz w:val="24"/>
              </w:rPr>
              <w:t>(IELTS)</w:t>
            </w:r>
          </w:p>
        </w:tc>
        <w:tc>
          <w:tcPr>
            <w:tcW w:w="3056" w:type="dxa"/>
          </w:tcPr>
          <w:p>
            <w:pPr>
              <w:pStyle w:val="TableParagraph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級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61" w:hRule="atLeast"/>
        </w:trPr>
        <w:tc>
          <w:tcPr>
            <w:tcW w:w="5240" w:type="dxa"/>
          </w:tcPr>
          <w:p>
            <w:pPr>
              <w:pStyle w:val="TableParagraph"/>
              <w:spacing w:before="14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多益測驗</w:t>
            </w:r>
            <w:r>
              <w:rPr>
                <w:spacing w:val="-1"/>
                <w:sz w:val="24"/>
              </w:rPr>
              <w:t>(TOEIC)</w:t>
            </w:r>
            <w:r>
              <w:rPr>
                <w:rFonts w:ascii="SimSun" w:eastAsia="SimSun" w:hint="eastAsia"/>
                <w:sz w:val="24"/>
              </w:rPr>
              <w:t>聽力與閱讀測驗</w:t>
            </w:r>
          </w:p>
        </w:tc>
        <w:tc>
          <w:tcPr>
            <w:tcW w:w="3056" w:type="dxa"/>
          </w:tcPr>
          <w:p>
            <w:pPr>
              <w:pStyle w:val="TableParagraph"/>
              <w:spacing w:before="14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785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多益測驗</w:t>
            </w:r>
            <w:r>
              <w:rPr>
                <w:spacing w:val="-1"/>
                <w:sz w:val="24"/>
              </w:rPr>
              <w:t>(TOEIC)</w:t>
            </w:r>
            <w:r>
              <w:rPr>
                <w:rFonts w:ascii="SimSun" w:eastAsia="SimSun" w:hint="eastAsia"/>
                <w:sz w:val="24"/>
              </w:rPr>
              <w:t>口說與寫作測驗</w:t>
            </w:r>
          </w:p>
        </w:tc>
        <w:tc>
          <w:tcPr>
            <w:tcW w:w="3056" w:type="dxa"/>
          </w:tcPr>
          <w:p>
            <w:pPr>
              <w:pStyle w:val="TableParagraph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imSun" w:eastAsia="SimSun" w:hint="eastAsia"/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全民英檢</w:t>
            </w:r>
            <w:r>
              <w:rPr>
                <w:sz w:val="24"/>
              </w:rPr>
              <w:t>(GEPT)</w:t>
            </w:r>
          </w:p>
        </w:tc>
        <w:tc>
          <w:tcPr>
            <w:tcW w:w="3056" w:type="dxa"/>
          </w:tcPr>
          <w:p>
            <w:pPr>
              <w:pStyle w:val="TableParagraph"/>
              <w:spacing w:before="12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中高級複試</w:t>
            </w:r>
            <w:r>
              <w:rPr>
                <w:sz w:val="24"/>
              </w:rPr>
              <w:t>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  <w:tr>
        <w:trPr>
          <w:trHeight w:val="359" w:hRule="atLeast"/>
        </w:trPr>
        <w:tc>
          <w:tcPr>
            <w:tcW w:w="5240" w:type="dxa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劍橋英語認證</w:t>
            </w:r>
            <w:r>
              <w:rPr>
                <w:spacing w:val="-1"/>
                <w:sz w:val="24"/>
              </w:rPr>
              <w:t>(Cambridge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English)</w:t>
            </w:r>
          </w:p>
        </w:tc>
        <w:tc>
          <w:tcPr>
            <w:tcW w:w="3056" w:type="dxa"/>
          </w:tcPr>
          <w:p>
            <w:pPr>
              <w:pStyle w:val="TableParagraph"/>
              <w:spacing w:before="12"/>
              <w:ind w:left="110"/>
              <w:rPr>
                <w:rFonts w:ascii="SimSun" w:eastAsia="SimSun" w:hint="eastAsia"/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(</w:t>
            </w:r>
            <w:r>
              <w:rPr>
                <w:sz w:val="24"/>
              </w:rPr>
              <w:t>FCE) (</w:t>
            </w:r>
            <w:r>
              <w:rPr>
                <w:rFonts w:ascii="SimSun" w:eastAsia="SimSun" w:hint="eastAsia"/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rFonts w:ascii="SimSun" w:eastAsia="SimSun" w:hint="eastAsia"/>
                <w:sz w:val="24"/>
              </w:rPr>
              <w:t>以上</w:t>
            </w:r>
          </w:p>
        </w:tc>
      </w:tr>
    </w:tbl>
    <w:p>
      <w:pPr>
        <w:pStyle w:val="BodyText"/>
        <w:ind w:left="0"/>
        <w:rPr>
          <w:sz w:val="29"/>
        </w:rPr>
      </w:pPr>
    </w:p>
    <w:p>
      <w:pPr>
        <w:pStyle w:val="BodyText"/>
        <w:ind w:left="112"/>
      </w:pPr>
      <w:r>
        <w:rPr>
          <w:spacing w:val="-1"/>
        </w:rPr>
        <w:t>四、補助金額：</w:t>
      </w:r>
    </w:p>
    <w:p>
      <w:pPr>
        <w:pStyle w:val="BodyText"/>
        <w:spacing w:line="280" w:lineRule="auto" w:before="53"/>
        <w:ind w:left="1118" w:right="1564" w:hanging="526"/>
      </w:pPr>
      <w:r>
        <w:rPr>
          <w:spacing w:val="-10"/>
        </w:rPr>
        <w:t>(一) 補助金額以英語文測驗網站公告測驗費用之報名費為主，每人補助金額至多</w:t>
      </w:r>
      <w:r>
        <w:rPr>
          <w:spacing w:val="-15"/>
        </w:rPr>
        <w:t>新臺幣 </w:t>
      </w:r>
      <w:r>
        <w:rPr>
          <w:rFonts w:ascii="Times New Roman" w:eastAsia="Times New Roman"/>
        </w:rPr>
        <w:t>3,500 </w:t>
      </w:r>
      <w:r>
        <w:rPr/>
        <w:t>元，實報實銷。</w:t>
      </w:r>
    </w:p>
    <w:p>
      <w:pPr>
        <w:pStyle w:val="BodyText"/>
      </w:pPr>
      <w:r>
        <w:rPr>
          <w:spacing w:val="-9"/>
        </w:rPr>
        <w:t>(二) 每人在學期間補助次數以一次為限。</w:t>
      </w:r>
    </w:p>
    <w:p>
      <w:pPr>
        <w:pStyle w:val="BodyText"/>
        <w:spacing w:before="53"/>
      </w:pPr>
      <w:r>
        <w:rPr>
          <w:spacing w:val="-9"/>
        </w:rPr>
        <w:t>(三) 補助經費有限，發完為止。補助順序依申請日期先後順序發放。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ind w:left="112"/>
      </w:pPr>
      <w:r>
        <w:rPr>
          <w:spacing w:val="-1"/>
        </w:rPr>
        <w:t>五、申請日期：</w:t>
      </w:r>
    </w:p>
    <w:p>
      <w:pPr>
        <w:pStyle w:val="BodyText"/>
        <w:spacing w:before="53"/>
      </w:pPr>
      <w:r>
        <w:rPr>
          <w:spacing w:val="-13"/>
          <w:w w:val="95"/>
        </w:rPr>
        <w:t>每年 </w:t>
      </w:r>
      <w:r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22"/>
          <w:w w:val="95"/>
        </w:rPr>
        <w:t> </w:t>
      </w:r>
      <w:r>
        <w:rPr>
          <w:spacing w:val="-18"/>
          <w:w w:val="95"/>
        </w:rPr>
        <w:t>月 </w:t>
      </w:r>
      <w:r>
        <w:rPr>
          <w:rFonts w:ascii="Times New Roman" w:eastAsia="Times New Roman"/>
          <w:w w:val="95"/>
        </w:rPr>
        <w:t>01</w:t>
      </w:r>
      <w:r>
        <w:rPr>
          <w:rFonts w:ascii="Times New Roman" w:eastAsia="Times New Roman"/>
          <w:spacing w:val="22"/>
          <w:w w:val="95"/>
        </w:rPr>
        <w:t> </w:t>
      </w:r>
      <w:r>
        <w:rPr>
          <w:spacing w:val="-12"/>
          <w:w w:val="95"/>
        </w:rPr>
        <w:t>日至 </w:t>
      </w:r>
      <w:r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22"/>
          <w:w w:val="95"/>
        </w:rPr>
        <w:t> </w:t>
      </w:r>
      <w:r>
        <w:rPr>
          <w:spacing w:val="-18"/>
          <w:w w:val="95"/>
        </w:rPr>
        <w:t>月 </w:t>
      </w:r>
      <w:r>
        <w:rPr>
          <w:rFonts w:ascii="Times New Roman" w:eastAsia="Times New Roman"/>
          <w:w w:val="95"/>
        </w:rPr>
        <w:t>30</w:t>
      </w:r>
      <w:r>
        <w:rPr>
          <w:rFonts w:ascii="Times New Roman" w:eastAsia="Times New Roman"/>
          <w:spacing w:val="21"/>
          <w:w w:val="95"/>
        </w:rPr>
        <w:t> </w:t>
      </w:r>
      <w:r>
        <w:rPr>
          <w:spacing w:val="-12"/>
          <w:w w:val="95"/>
        </w:rPr>
        <w:t>日及 </w:t>
      </w:r>
      <w:r>
        <w:rPr>
          <w:rFonts w:ascii="Times New Roman" w:eastAsia="Times New Roman"/>
          <w:w w:val="95"/>
        </w:rPr>
        <w:t>12</w:t>
      </w:r>
      <w:r>
        <w:rPr>
          <w:rFonts w:ascii="Times New Roman" w:eastAsia="Times New Roman"/>
          <w:spacing w:val="22"/>
          <w:w w:val="95"/>
        </w:rPr>
        <w:t> </w:t>
      </w:r>
      <w:r>
        <w:rPr>
          <w:spacing w:val="-18"/>
          <w:w w:val="95"/>
        </w:rPr>
        <w:t>月 </w:t>
      </w:r>
      <w:r>
        <w:rPr>
          <w:rFonts w:ascii="Times New Roman" w:eastAsia="Times New Roman"/>
          <w:w w:val="95"/>
        </w:rPr>
        <w:t>01</w:t>
      </w:r>
      <w:r>
        <w:rPr>
          <w:rFonts w:ascii="Times New Roman" w:eastAsia="Times New Roman"/>
          <w:spacing w:val="21"/>
          <w:w w:val="95"/>
        </w:rPr>
        <w:t> </w:t>
      </w:r>
      <w:r>
        <w:rPr>
          <w:spacing w:val="-12"/>
          <w:w w:val="95"/>
        </w:rPr>
        <w:t>日至 </w:t>
      </w:r>
      <w:r>
        <w:rPr>
          <w:rFonts w:ascii="Times New Roman" w:eastAsia="Times New Roman"/>
          <w:w w:val="95"/>
        </w:rPr>
        <w:t>12</w:t>
      </w:r>
      <w:r>
        <w:rPr>
          <w:rFonts w:ascii="Times New Roman" w:eastAsia="Times New Roman"/>
          <w:spacing w:val="22"/>
          <w:w w:val="95"/>
        </w:rPr>
        <w:t> </w:t>
      </w:r>
      <w:r>
        <w:rPr>
          <w:spacing w:val="-18"/>
          <w:w w:val="95"/>
        </w:rPr>
        <w:t>月 </w:t>
      </w:r>
      <w:r>
        <w:rPr>
          <w:rFonts w:ascii="Times New Roman" w:eastAsia="Times New Roman"/>
          <w:w w:val="95"/>
        </w:rPr>
        <w:t>31</w:t>
      </w:r>
      <w:r>
        <w:rPr>
          <w:rFonts w:ascii="Times New Roman" w:eastAsia="Times New Roman"/>
          <w:spacing w:val="21"/>
          <w:w w:val="95"/>
        </w:rPr>
        <w:t> </w:t>
      </w:r>
      <w:r>
        <w:rPr>
          <w:w w:val="95"/>
        </w:rPr>
        <w:t>日開放收件。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before="1"/>
        <w:ind w:left="112"/>
      </w:pPr>
      <w:r>
        <w:rPr/>
        <w:t>六、申請文件：</w:t>
      </w:r>
    </w:p>
    <w:p>
      <w:pPr>
        <w:pStyle w:val="BodyText"/>
        <w:spacing w:before="79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9"/>
        </w:rPr>
        <w:t>) </w:t>
      </w:r>
      <w:r>
        <w:rPr/>
        <w:t>國立中山大學學生參與英語文測驗獎勵要點申請表。</w:t>
      </w:r>
    </w:p>
    <w:p>
      <w:pPr>
        <w:pStyle w:val="BodyText"/>
        <w:spacing w:before="107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9"/>
        </w:rPr>
        <w:t>) </w:t>
      </w:r>
      <w:r>
        <w:rPr/>
        <w:t>學生證影本乙份。</w:t>
      </w:r>
    </w:p>
    <w:p>
      <w:pPr>
        <w:pStyle w:val="BodyText"/>
        <w:spacing w:before="106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  <w:spacing w:val="9"/>
        </w:rPr>
        <w:t>) </w:t>
      </w:r>
      <w:r>
        <w:rPr/>
        <w:t>英語文測驗成績證明正本及影本各乙份（正本驗證後發還，影本留存</w:t>
      </w:r>
      <w:r>
        <w:rPr>
          <w:spacing w:val="-119"/>
        </w:rPr>
        <w:t>）</w:t>
      </w:r>
      <w:r>
        <w:rPr/>
        <w:t>。</w:t>
      </w:r>
    </w:p>
    <w:p>
      <w:pPr>
        <w:pStyle w:val="BodyText"/>
        <w:spacing w:line="321" w:lineRule="auto" w:before="107"/>
        <w:ind w:left="1073" w:right="649" w:hanging="480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  <w:spacing w:val="4"/>
        </w:rPr>
        <w:t>) </w:t>
      </w:r>
      <w:r>
        <w:rPr/>
        <w:t>若考試成績證明上所載姓名為英文者，應另附足以證明英文姓名之證件（例：護照）</w:t>
      </w:r>
      <w:r>
        <w:rPr>
          <w:spacing w:val="-117"/>
        </w:rPr>
        <w:t> </w:t>
      </w:r>
      <w:r>
        <w:rPr/>
        <w:t>以供驗證。</w:t>
      </w:r>
    </w:p>
    <w:p>
      <w:pPr>
        <w:spacing w:after="0" w:line="321" w:lineRule="auto"/>
        <w:sectPr>
          <w:type w:val="continuous"/>
          <w:pgSz w:w="11910" w:h="16840"/>
          <w:pgMar w:top="1120" w:bottom="280" w:left="1020" w:right="280"/>
        </w:sectPr>
      </w:pPr>
    </w:p>
    <w:p>
      <w:pPr>
        <w:pStyle w:val="BodyText"/>
        <w:spacing w:before="27"/>
        <w:ind w:left="112"/>
      </w:pPr>
      <w:r>
        <w:rPr/>
        <w:t>七、申請方式：</w:t>
      </w:r>
    </w:p>
    <w:p>
      <w:pPr>
        <w:pStyle w:val="BodyText"/>
        <w:spacing w:before="79"/>
      </w:pPr>
      <w:r>
        <w:rPr/>
        <w:t>請於西灣學院網頁</w:t>
      </w:r>
      <w:r>
        <w:rPr>
          <w:rFonts w:ascii="Times New Roman" w:eastAsia="Times New Roman"/>
        </w:rPr>
        <w:t>(https://reurl.cc/pWo4gx)</w:t>
      </w:r>
      <w:r>
        <w:rPr/>
        <w:t>下載申請表格，連同上述文件送全英語卓越教學</w:t>
      </w:r>
    </w:p>
    <w:p>
      <w:pPr>
        <w:pStyle w:val="BodyText"/>
        <w:spacing w:line="585" w:lineRule="auto" w:before="106"/>
        <w:ind w:left="112" w:right="111" w:firstLine="480"/>
      </w:pPr>
      <w:r>
        <w:rPr/>
        <w:t>中心辦公室。獲補助名單將公告於西灣學院全英語卓越教學中心網頁</w:t>
      </w:r>
      <w:r>
        <w:rPr>
          <w:rFonts w:ascii="Times New Roman" w:eastAsia="Times New Roman"/>
        </w:rPr>
        <w:t>(https://reurl.cc/rQoVVx)</w:t>
      </w:r>
      <w:r>
        <w:rPr/>
        <w:t>。八、本辦法經全英語卓越教學中心會議通過，並簽請校長核定後實施；修正時亦同。</w:t>
      </w:r>
    </w:p>
    <w:p>
      <w:pPr>
        <w:pStyle w:val="BodyText"/>
        <w:spacing w:line="302" w:lineRule="exact"/>
        <w:ind w:left="112"/>
      </w:pPr>
      <w:r>
        <w:rPr>
          <w:rFonts w:ascii="Times New Roman" w:hAnsi="Times New Roman" w:eastAsia="Times New Roman"/>
          <w:spacing w:val="-1"/>
        </w:rPr>
        <w:t>※</w:t>
      </w:r>
      <w:r>
        <w:rPr/>
        <w:t>附註一：英語系國家為英國、美國、加拿大、澳洲、紐西蘭、愛爾蘭、南非等國。</w:t>
      </w:r>
    </w:p>
    <w:p>
      <w:pPr>
        <w:pStyle w:val="BodyText"/>
        <w:spacing w:line="324" w:lineRule="auto" w:before="105"/>
        <w:ind w:left="1313" w:right="647" w:hanging="1198"/>
      </w:pPr>
      <w:r>
        <w:rPr>
          <w:rFonts w:ascii="Times New Roman" w:hAnsi="Times New Roman" w:eastAsia="Times New Roman"/>
        </w:rPr>
        <w:t>※</w:t>
      </w:r>
      <w:r>
        <w:rPr/>
        <w:t>附註二：由於依現行法規規定，學校不得以中央補助款作為陸生獎助學金，因此大陸學位生不列入申請資格身分。</w:t>
      </w:r>
    </w:p>
    <w:sectPr>
      <w:pgSz w:w="11910" w:h="16840"/>
      <w:pgMar w:top="96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593"/>
    </w:pPr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469" w:lineRule="exact"/>
      <w:ind w:left="2610" w:right="2640"/>
      <w:jc w:val="center"/>
    </w:pPr>
    <w:rPr>
      <w:rFonts w:ascii="Yu Gothic" w:hAnsi="Yu Gothic" w:eastAsia="Yu Gothic" w:cs="Yu Gothic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07"/>
    </w:pPr>
    <w:rPr>
      <w:rFonts w:ascii="Times New Roman" w:hAnsi="Times New Roman" w:eastAsia="Times New Roman" w:cs="Times New Roma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2023-06-01T04:42:19Z</dcterms:created>
  <dcterms:modified xsi:type="dcterms:W3CDTF">2023-06-01T04:42:19Z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